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北京市人力资源和社会保障局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依据《中华人民共和国政府信息公开条例》（以下简称《政府信息公开条例》）第五十条规定，编制本报告。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2025年，北京市人力资源和社会保障局（以下简称“我局”）坚持以人民为中心的发展思想，不断提升政务公开标准化、规范化、便利化水平，切实保障人民群众知情权、参与权、表达权和监督权。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（一）强化组织领导。</w:t>
      </w:r>
      <w:r>
        <w:rPr>
          <w:rFonts w:hint="eastAsia" w:ascii="仿宋_GB2312" w:hAnsi="仿宋_GB2312" w:eastAsia="仿宋_GB2312" w:cs="仿宋_GB2312"/>
          <w:sz w:val="32"/>
          <w:szCs w:val="32"/>
        </w:rPr>
        <w:t>我局高度重视政府信息公开工作，将其纳入年度重点工作统筹部署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，局领导定期统筹调度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按照</w:t>
      </w:r>
      <w:r>
        <w:rPr>
          <w:rFonts w:hint="eastAsia" w:ascii="仿宋_GB2312" w:hAnsi="仿宋_GB2312" w:eastAsia="仿宋_GB2312" w:cs="仿宋_GB2312"/>
          <w:sz w:val="32"/>
          <w:szCs w:val="32"/>
        </w:rPr>
        <w:t>市政务服务和数据管理局工作要求，明确重点任务、责任分工与完成时限，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定期开展督导和自查，</w:t>
      </w:r>
      <w:r>
        <w:rPr>
          <w:rFonts w:hint="eastAsia" w:ascii="仿宋_GB2312" w:hAnsi="仿宋_GB2312" w:eastAsia="仿宋_GB2312" w:cs="仿宋_GB2312"/>
          <w:sz w:val="32"/>
          <w:szCs w:val="32"/>
        </w:rPr>
        <w:t>确保各项工作落到实处。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（二）深化主动公开。</w:t>
      </w:r>
      <w:r>
        <w:rPr>
          <w:rFonts w:hint="eastAsia" w:ascii="仿宋_GB2312" w:hAnsi="仿宋_GB2312" w:eastAsia="仿宋_GB2312" w:cs="仿宋_GB2312"/>
          <w:sz w:val="32"/>
          <w:szCs w:val="32"/>
        </w:rPr>
        <w:t>围绕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人社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工作主线，及时主动公开重点群体就业政策、招聘活动及服务信息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持续做好社保政策调整及实施情况的发布解读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加大人事人才领域信息公开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及时公布劳动关系相关政策及典型案例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依法做好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行政决策事项目录、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部门财政预决算、政府采购、公开招聘等信息公开。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开展政策性文件意见征集工作3次，邀请6位公众代表列席我局行政决策会议并参加“政务开放日”活动，常态化开展“政策公开讲”活动。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（三）规范依申请公开。</w:t>
      </w:r>
      <w:r>
        <w:rPr>
          <w:rFonts w:hint="eastAsia" w:ascii="仿宋_GB2312" w:hAnsi="仿宋_GB2312" w:eastAsia="仿宋_GB2312" w:cs="仿宋_GB2312"/>
          <w:sz w:val="32"/>
          <w:szCs w:val="32"/>
        </w:rPr>
        <w:t>畅通网络、信函、当面提交等申请渠道，持续优化政府信息依申请公开受理、办理、答复流程。安排专人负责咨询受理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做好与申请人的沟通联络，明确申请诉求，精准信息查询。加大对承办单位的督促力度，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严格落实法定答复时限，规范制作答复文书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（四）加强政府信息管理。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加强政府信息全生命周期管理，严格执行行政规范性文件制定、备案、清理程序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确保信息发布权威、准确、及时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及时废止失效文件，更新现行有效文件目录并集中公开。全面推进政策性文件与解读材料同步组织、同步审签、同步部署、同步公开。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（五）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创新</w:t>
      </w:r>
      <w:r>
        <w:rPr>
          <w:rFonts w:hint="eastAsia" w:ascii="楷体_GB2312" w:hAnsi="楷体_GB2312" w:eastAsia="楷体_GB2312" w:cs="楷体_GB2312"/>
          <w:sz w:val="32"/>
          <w:szCs w:val="32"/>
        </w:rPr>
        <w:t>公开平台建设。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上线局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英文官网，积极为外籍人士和海外投资者提供“便捷、高效、透明”的人力社保资讯和服务指引。</w:t>
      </w:r>
      <w:r>
        <w:rPr>
          <w:rFonts w:hint="eastAsia" w:ascii="仿宋_GB2312" w:hAnsi="仿宋_GB2312" w:eastAsia="仿宋_GB2312" w:cs="仿宋_GB2312"/>
          <w:sz w:val="32"/>
          <w:szCs w:val="32"/>
        </w:rPr>
        <w:t>做强“北京人社”政务新媒体矩阵，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利用</w:t>
      </w:r>
      <w:r>
        <w:rPr>
          <w:rFonts w:hint="eastAsia" w:ascii="仿宋_GB2312" w:hAnsi="仿宋_GB2312" w:eastAsia="仿宋_GB2312" w:cs="仿宋_GB2312"/>
          <w:sz w:val="32"/>
          <w:szCs w:val="32"/>
        </w:rPr>
        <w:t>直播、AI数字人等多种形式开展政策解读。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创新建立“京晓保”智能问答知识库</w:t>
      </w:r>
      <w:r>
        <w:rPr>
          <w:rFonts w:hint="eastAsia" w:ascii="仿宋_GB2312" w:hAnsi="仿宋_GB2312" w:eastAsia="仿宋_GB2312" w:cs="仿宋_GB2312"/>
          <w:sz w:val="32"/>
          <w:szCs w:val="32"/>
        </w:rPr>
        <w:t>，提升在线咨询答复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质效</w:t>
      </w:r>
      <w:r>
        <w:rPr>
          <w:rFonts w:hint="eastAsia" w:ascii="仿宋_GB2312" w:hAnsi="仿宋_GB2312" w:eastAsia="仿宋_GB2312" w:cs="仿宋_GB2312"/>
          <w:sz w:val="32"/>
          <w:szCs w:val="32"/>
        </w:rPr>
        <w:t>。配合推进“京策”平台政策汇聚与精准推送，提升政策服务便捷度和获得感。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val="en-US" w:eastAsia="zh-CN" w:bidi="ar"/>
        </w:rPr>
        <w:t>（六）教育培训与监督保障。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加强政务公开队伍建设，新增工作人员并参加专题培训，及时传达会议精神至各处室工作人员，全面提升业务能力。开展日常监测与专项检查，持续压实责任，确保公开信息及时、准确、规范。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二、主动公开政府信息情况</w:t>
      </w:r>
    </w:p>
    <w:tbl>
      <w:tblPr>
        <w:tblStyle w:val="7"/>
        <w:tblW w:w="974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26</w:t>
            </w:r>
          </w:p>
        </w:tc>
        <w:tc>
          <w:tcPr>
            <w:tcW w:w="243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7</w:t>
            </w:r>
          </w:p>
        </w:tc>
        <w:tc>
          <w:tcPr>
            <w:tcW w:w="243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682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22897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9945.1349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三、收到和处理政府信息公开申请情况</w:t>
      </w:r>
    </w:p>
    <w:tbl>
      <w:tblPr>
        <w:tblStyle w:val="7"/>
        <w:tblW w:w="974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941"/>
        <w:gridCol w:w="3210"/>
        <w:gridCol w:w="698"/>
        <w:gridCol w:w="687"/>
        <w:gridCol w:w="687"/>
        <w:gridCol w:w="687"/>
        <w:gridCol w:w="687"/>
        <w:gridCol w:w="687"/>
        <w:gridCol w:w="69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4917" w:type="dxa"/>
            <w:gridSpan w:val="3"/>
            <w:vMerge w:val="restart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31" w:type="dxa"/>
            <w:gridSpan w:val="7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17" w:type="dxa"/>
            <w:gridSpan w:val="3"/>
            <w:vMerge w:val="continue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Merge w:val="restart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35" w:type="dxa"/>
            <w:gridSpan w:val="5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98" w:type="dxa"/>
            <w:vMerge w:val="restart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6" w:hRule="atLeast"/>
          <w:jc w:val="center"/>
        </w:trPr>
        <w:tc>
          <w:tcPr>
            <w:tcW w:w="4917" w:type="dxa"/>
            <w:gridSpan w:val="3"/>
            <w:vMerge w:val="continue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Merge w:val="continue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98" w:type="dxa"/>
            <w:vMerge w:val="continue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jc w:val="center"/>
        </w:trPr>
        <w:tc>
          <w:tcPr>
            <w:tcW w:w="4917" w:type="dxa"/>
            <w:gridSpan w:val="3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371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376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  <w:jc w:val="center"/>
        </w:trPr>
        <w:tc>
          <w:tcPr>
            <w:tcW w:w="4917" w:type="dxa"/>
            <w:gridSpan w:val="3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restart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51" w:type="dxa"/>
            <w:gridSpan w:val="2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177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178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1" w:type="dxa"/>
            <w:gridSpan w:val="2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36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vMerge w:val="restart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10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vMerge w:val="continue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vMerge w:val="continue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vMerge w:val="continue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vMerge w:val="continue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vMerge w:val="continue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vMerge w:val="continue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vMerge w:val="continue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vMerge w:val="restart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10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84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85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vMerge w:val="continue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vMerge w:val="continue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vMerge w:val="restart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10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vMerge w:val="continue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vMerge w:val="continue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vMerge w:val="continue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vMerge w:val="continue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vMerge w:val="restart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10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0.其他处理总计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vMerge w:val="continue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</w:p>
        </w:tc>
        <w:tc>
          <w:tcPr>
            <w:tcW w:w="3210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lang w:val="en-US" w:eastAsia="zh-CN" w:bidi="ar"/>
              </w:rPr>
              <w:t>申请人无正当理由逾期不补正、行政机关不再处理其政府信息公开申请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vMerge w:val="continue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vMerge w:val="continue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57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1" w:type="dxa"/>
            <w:gridSpan w:val="2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375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380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17" w:type="dxa"/>
            <w:gridSpan w:val="3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tbl>
      <w:tblPr>
        <w:tblStyle w:val="7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2025年，我局政府信息公开工作取得一定成效，但对标新时代政务公开更高要求和人民群众期盼，仍存在一些需要改进之处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一是政策解读的精准性和传播力有待进一步增强，部分解读形式仍偏传统，对新媒体传播规律运用不够充分；二是“京策”等政策服务平台的应用深度有待提升，政策智能匹配与精准推送的效能尚未完全发挥；三是公众参与政策制定的渠道和机制可以进一步拓展，吸纳民智、反映民意的实效性需持续加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2026年，我局将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重点从以下几个方面加以提升。一是深化</w:t>
      </w:r>
      <w:r>
        <w:rPr>
          <w:rFonts w:hint="eastAsia" w:ascii="仿宋_GB2312" w:hAnsi="仿宋_GB2312" w:eastAsia="仿宋_GB2312" w:cs="仿宋_GB2312"/>
          <w:sz w:val="32"/>
          <w:szCs w:val="32"/>
        </w:rPr>
        <w:t>政策解读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加强解读内容的针对性，聚焦政策核心条款、办理流程、受益群体等关键信息，提升解读实效。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深化智慧平台应用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持续优化“京策”平台人社专区功能，推动更多惠企利民政策“一站式”汇聚和“精准化”推送，运用大数据分析手段，实现政策信息与用户需求的智能匹配。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</w:rPr>
        <w:t>拓宽公众参与渠道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严格落实重大行政决策公众参与程序，丰富“政务开放日”、“政策公开讲”、线上听证、问卷调查等参与形式。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2025年度，本机关未收取信息处理费。发出收费通知的件数和总金额为0，实际收取的总金额为0。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28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8"/>
          <w:w w:val="100"/>
          <w:sz w:val="32"/>
          <w:szCs w:val="32"/>
        </w:rPr>
        <w:t>北京市人力资源和社会保障局网</w:t>
      </w:r>
      <w:r>
        <w:rPr>
          <w:rFonts w:hint="eastAsia" w:ascii="仿宋_GB2312" w:hAnsi="仿宋_GB2312" w:eastAsia="仿宋_GB2312" w:cs="仿宋_GB2312"/>
          <w:spacing w:val="-34"/>
          <w:w w:val="100"/>
          <w:sz w:val="32"/>
          <w:szCs w:val="32"/>
        </w:rPr>
        <w:t>站网址为http://rsj.beijing.gov.cn/。</w:t>
      </w:r>
      <w:r>
        <w:rPr>
          <w:rFonts w:hint="eastAsia" w:ascii="仿宋_GB2312" w:hAnsi="仿宋_GB2312" w:eastAsia="仿宋_GB2312" w:cs="仿宋_GB2312"/>
          <w:sz w:val="32"/>
          <w:szCs w:val="32"/>
        </w:rPr>
        <w:t>如需了解更多政府信息，请登录查询。</w:t>
      </w:r>
    </w:p>
    <w:sectPr>
      <w:footerReference r:id="rId3" w:type="default"/>
      <w:pgSz w:w="11906" w:h="16838"/>
      <w:pgMar w:top="2098" w:right="1474" w:bottom="1984" w:left="1587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iberation Sans">
    <w:altName w:val="华文中宋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WAAAAZHJzL1BLAQIUABQAAAAIAIdO4kCzSVju0AAAAAUBAAAPAAAAAAAAAAEAIAAAADgAAABk&#10;cnMvZG93bnJldi54bWxQSwECFAAUAAAACACHTuJASLb2J9wCAAAkBgAADgAAAAAAAAABACAAAAA1&#10;AQAAZHJzL2Uyb0RvYy54bWxQSwUGAAAAAAYABgBZAQAAg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FDF3D1"/>
    <w:rsid w:val="6F7D6818"/>
    <w:rsid w:val="71D7FE87"/>
    <w:rsid w:val="76FF2E63"/>
    <w:rsid w:val="77BF84BD"/>
    <w:rsid w:val="7EBFBC69"/>
    <w:rsid w:val="9FAF7774"/>
    <w:rsid w:val="9FF64F9D"/>
    <w:rsid w:val="B7F4B522"/>
    <w:rsid w:val="BDF71F1C"/>
    <w:rsid w:val="EB3D7178"/>
    <w:rsid w:val="EE77FC7A"/>
    <w:rsid w:val="F1FE2487"/>
    <w:rsid w:val="F6C58381"/>
    <w:rsid w:val="F7FB3727"/>
    <w:rsid w:val="FAF513FF"/>
    <w:rsid w:val="FBFEA355"/>
    <w:rsid w:val="FF6F74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"/>
    <w:basedOn w:val="3"/>
    <w:qFormat/>
    <w:uiPriority w:val="0"/>
  </w:style>
  <w:style w:type="character" w:customStyle="1" w:styleId="9">
    <w:name w:val="默认段落字体1"/>
    <w:qFormat/>
    <w:uiPriority w:val="0"/>
  </w:style>
  <w:style w:type="paragraph" w:customStyle="1" w:styleId="10">
    <w:name w:val="Heading"/>
    <w:basedOn w:val="1"/>
    <w:next w:val="3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1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22</TotalTime>
  <ScaleCrop>false</ScaleCrop>
  <LinksUpToDate>false</LinksUpToDate>
  <Application>WPS Office_11.8.2.1132_F1E327BC-269C-435d-A152-05C5408002CA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2018-11-28T01:47:00Z</dcterms:created>
  <dc:creator>uos</dc:creator>
  <cp:lastModifiedBy>uos</cp:lastModifiedBy>
  <cp:lastPrinted>2026-01-21T16:22:11Z</cp:lastPrinted>
  <dcterms:modified xsi:type="dcterms:W3CDTF">2026-01-21T16:25:39Z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52D0071EBFBFEEC7F7FD69692D26E7FE</vt:lpwstr>
  </property>
</Properties>
</file>